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66" w:rsidRPr="00A25B8A" w:rsidRDefault="00C23666" w:rsidP="00C23666">
      <w:pPr>
        <w:jc w:val="center"/>
        <w:rPr>
          <w:b/>
          <w:color w:val="9BBB59" w:themeColor="accent3"/>
          <w:sz w:val="40"/>
          <w:szCs w:val="40"/>
        </w:rPr>
      </w:pPr>
      <w:r w:rsidRPr="00A25B8A">
        <w:rPr>
          <w:b/>
          <w:color w:val="9BBB59" w:themeColor="accent3"/>
          <w:sz w:val="40"/>
          <w:szCs w:val="40"/>
        </w:rPr>
        <w:t xml:space="preserve">Lycée Faidherbe – salle des </w:t>
      </w:r>
      <w:r>
        <w:rPr>
          <w:b/>
          <w:color w:val="9BBB59" w:themeColor="accent3"/>
          <w:sz w:val="40"/>
          <w:szCs w:val="40"/>
        </w:rPr>
        <w:t>Conférences</w:t>
      </w:r>
    </w:p>
    <w:p w:rsidR="00C23666" w:rsidRPr="00A25B8A" w:rsidRDefault="00C23666" w:rsidP="00C23666">
      <w:pPr>
        <w:jc w:val="center"/>
        <w:rPr>
          <w:b/>
          <w:color w:val="9BBB59" w:themeColor="accent3"/>
          <w:sz w:val="40"/>
          <w:szCs w:val="40"/>
        </w:rPr>
      </w:pPr>
      <w:r w:rsidRPr="00A25B8A">
        <w:rPr>
          <w:b/>
          <w:color w:val="9BBB59" w:themeColor="accent3"/>
          <w:sz w:val="40"/>
          <w:szCs w:val="40"/>
        </w:rPr>
        <w:t xml:space="preserve">Le </w:t>
      </w:r>
      <w:r>
        <w:rPr>
          <w:b/>
          <w:color w:val="9BBB59" w:themeColor="accent3"/>
          <w:sz w:val="40"/>
          <w:szCs w:val="40"/>
        </w:rPr>
        <w:t>Mercredi 25 mars à 19</w:t>
      </w:r>
      <w:r w:rsidRPr="00A25B8A">
        <w:rPr>
          <w:b/>
          <w:color w:val="9BBB59" w:themeColor="accent3"/>
          <w:sz w:val="40"/>
          <w:szCs w:val="40"/>
        </w:rPr>
        <w:t>h00</w:t>
      </w:r>
    </w:p>
    <w:p w:rsidR="00C23666" w:rsidRPr="004E5694" w:rsidRDefault="00C23666" w:rsidP="00C23666">
      <w:pPr>
        <w:jc w:val="center"/>
        <w:rPr>
          <w:b/>
          <w:color w:val="9BBB59" w:themeColor="accent3"/>
          <w:sz w:val="44"/>
          <w:szCs w:val="44"/>
        </w:rPr>
      </w:pPr>
    </w:p>
    <w:p w:rsidR="00C23666" w:rsidRPr="004E5694" w:rsidRDefault="00C23666" w:rsidP="00C23666">
      <w:pPr>
        <w:jc w:val="center"/>
        <w:rPr>
          <w:b/>
          <w:color w:val="5F497A" w:themeColor="accent4" w:themeShade="BF"/>
          <w:sz w:val="44"/>
          <w:szCs w:val="44"/>
        </w:rPr>
      </w:pPr>
      <w:r>
        <w:rPr>
          <w:b/>
          <w:color w:val="5F497A" w:themeColor="accent4" w:themeShade="BF"/>
          <w:sz w:val="44"/>
          <w:szCs w:val="44"/>
        </w:rPr>
        <w:t>Emmanuel Godo</w:t>
      </w:r>
    </w:p>
    <w:p w:rsidR="00C23666" w:rsidRDefault="00C23666" w:rsidP="00E44CD7">
      <w:pPr>
        <w:jc w:val="center"/>
        <w:rPr>
          <w:rFonts w:cs="Arial"/>
          <w:color w:val="1D1D1D"/>
          <w:sz w:val="28"/>
          <w:szCs w:val="28"/>
        </w:rPr>
      </w:pPr>
      <w:r>
        <w:rPr>
          <w:color w:val="000000" w:themeColor="text1"/>
          <w:sz w:val="28"/>
          <w:szCs w:val="28"/>
        </w:rPr>
        <w:t xml:space="preserve">Professeur en classes préparatoires au lycée Faidherbe, </w:t>
      </w:r>
      <w:r w:rsidR="00E44CD7">
        <w:rPr>
          <w:color w:val="000000" w:themeColor="text1"/>
          <w:sz w:val="28"/>
          <w:szCs w:val="28"/>
        </w:rPr>
        <w:t>écrivain (</w:t>
      </w:r>
      <w:r w:rsidR="00E44CD7" w:rsidRPr="00E44CD7">
        <w:rPr>
          <w:i/>
          <w:color w:val="000000" w:themeColor="text1"/>
          <w:sz w:val="28"/>
          <w:szCs w:val="28"/>
        </w:rPr>
        <w:t>La conversation, une utopie de l’éphémère</w:t>
      </w:r>
      <w:r w:rsidR="00E44CD7">
        <w:rPr>
          <w:color w:val="000000" w:themeColor="text1"/>
          <w:sz w:val="28"/>
          <w:szCs w:val="28"/>
        </w:rPr>
        <w:t xml:space="preserve">, PUF, 2014 ; </w:t>
      </w:r>
      <w:r w:rsidR="00E44CD7" w:rsidRPr="00E44CD7">
        <w:rPr>
          <w:i/>
          <w:color w:val="000000" w:themeColor="text1"/>
          <w:sz w:val="28"/>
          <w:szCs w:val="28"/>
        </w:rPr>
        <w:t>Un Prince</w:t>
      </w:r>
      <w:r w:rsidR="00E44CD7">
        <w:rPr>
          <w:color w:val="000000" w:themeColor="text1"/>
          <w:sz w:val="28"/>
          <w:szCs w:val="28"/>
        </w:rPr>
        <w:t>, DDB, 2013)</w:t>
      </w:r>
    </w:p>
    <w:p w:rsidR="00C23666" w:rsidRDefault="00C23666" w:rsidP="00C23666">
      <w:pPr>
        <w:jc w:val="center"/>
        <w:rPr>
          <w:rFonts w:cs="Arial"/>
          <w:color w:val="1D1D1D"/>
          <w:sz w:val="28"/>
          <w:szCs w:val="28"/>
        </w:rPr>
      </w:pPr>
    </w:p>
    <w:p w:rsidR="00C23666" w:rsidRDefault="00C23666" w:rsidP="00C23666">
      <w:pPr>
        <w:jc w:val="center"/>
        <w:rPr>
          <w:rFonts w:cs="Arial"/>
          <w:b/>
          <w:color w:val="5F497A" w:themeColor="accent4" w:themeShade="BF"/>
          <w:sz w:val="44"/>
          <w:szCs w:val="44"/>
        </w:rPr>
      </w:pPr>
      <w:r>
        <w:rPr>
          <w:rFonts w:cs="Arial"/>
          <w:b/>
          <w:color w:val="5F497A" w:themeColor="accent4" w:themeShade="BF"/>
          <w:sz w:val="44"/>
          <w:szCs w:val="44"/>
        </w:rPr>
        <w:t xml:space="preserve">1914-1918 : </w:t>
      </w:r>
    </w:p>
    <w:p w:rsidR="00C23666" w:rsidRDefault="00C23666" w:rsidP="00C23666">
      <w:pPr>
        <w:jc w:val="center"/>
        <w:rPr>
          <w:rFonts w:cs="Arial"/>
          <w:b/>
          <w:color w:val="5F497A" w:themeColor="accent4" w:themeShade="BF"/>
          <w:sz w:val="44"/>
          <w:szCs w:val="44"/>
        </w:rPr>
      </w:pPr>
      <w:r>
        <w:rPr>
          <w:rFonts w:cs="Arial"/>
          <w:b/>
          <w:color w:val="5F497A" w:themeColor="accent4" w:themeShade="BF"/>
          <w:sz w:val="44"/>
          <w:szCs w:val="44"/>
        </w:rPr>
        <w:t>LES ECRIVAINS FACE A LEUR GUERRE</w:t>
      </w:r>
    </w:p>
    <w:p w:rsidR="00C23666" w:rsidRDefault="00C23666" w:rsidP="00C23666">
      <w:pPr>
        <w:jc w:val="center"/>
        <w:rPr>
          <w:rFonts w:cs="Arial"/>
          <w:b/>
          <w:color w:val="5F497A" w:themeColor="accent4" w:themeShade="BF"/>
          <w:sz w:val="44"/>
          <w:szCs w:val="44"/>
        </w:rPr>
      </w:pPr>
    </w:p>
    <w:p w:rsidR="00C23666" w:rsidRPr="00C23666" w:rsidRDefault="00C23666" w:rsidP="00C23666">
      <w:pPr>
        <w:jc w:val="center"/>
        <w:rPr>
          <w:rFonts w:cs="Arial"/>
          <w:b/>
          <w:color w:val="5F497A" w:themeColor="accent4" w:themeShade="BF"/>
        </w:rPr>
      </w:pPr>
      <w:r>
        <w:rPr>
          <w:rFonts w:cs="Arial"/>
          <w:b/>
          <w:noProof/>
          <w:color w:val="5F497A" w:themeColor="accent4" w:themeShade="BF"/>
        </w:rPr>
        <w:drawing>
          <wp:inline distT="0" distB="0" distL="0" distR="0" wp14:anchorId="5686944B" wp14:editId="03F3F145">
            <wp:extent cx="2166390" cy="3336748"/>
            <wp:effectExtent l="0" t="0" r="0" b="0"/>
            <wp:docPr id="1" name="Image 1" descr="Macintosh HD:Users:jalazard:Desktop:pourquoi-nous-battons-n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lazard:Desktop:pourquoi-nous-battons-no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229" cy="3339581"/>
                    </a:xfrm>
                    <a:prstGeom prst="rect">
                      <a:avLst/>
                    </a:prstGeom>
                    <a:noFill/>
                    <a:ln>
                      <a:noFill/>
                    </a:ln>
                  </pic:spPr>
                </pic:pic>
              </a:graphicData>
            </a:graphic>
          </wp:inline>
        </w:drawing>
      </w:r>
    </w:p>
    <w:p w:rsidR="00C23666" w:rsidRPr="00F26564" w:rsidRDefault="00C23666" w:rsidP="00C23666">
      <w:pPr>
        <w:rPr>
          <w:b/>
          <w:color w:val="660066"/>
          <w:sz w:val="16"/>
          <w:szCs w:val="16"/>
        </w:rPr>
      </w:pPr>
    </w:p>
    <w:p w:rsidR="00C23666" w:rsidRPr="00C23666" w:rsidRDefault="00C23666" w:rsidP="00C23666">
      <w:pPr>
        <w:jc w:val="center"/>
        <w:rPr>
          <w:b/>
          <w:i/>
          <w:color w:val="660066"/>
          <w:sz w:val="36"/>
          <w:szCs w:val="36"/>
        </w:rPr>
      </w:pPr>
      <w:r w:rsidRPr="00A25B8A">
        <w:rPr>
          <w:b/>
          <w:color w:val="660066"/>
          <w:sz w:val="36"/>
          <w:szCs w:val="36"/>
        </w:rPr>
        <w:t>Présentation :</w:t>
      </w:r>
      <w:r>
        <w:rPr>
          <w:b/>
          <w:color w:val="660066"/>
          <w:sz w:val="36"/>
          <w:szCs w:val="36"/>
        </w:rPr>
        <w:t xml:space="preserve"> </w:t>
      </w:r>
    </w:p>
    <w:p w:rsidR="00C23666" w:rsidRPr="00A25B8A" w:rsidRDefault="00C23666" w:rsidP="00C23666">
      <w:pPr>
        <w:jc w:val="both"/>
        <w:rPr>
          <w:b/>
          <w:color w:val="660066"/>
          <w:sz w:val="36"/>
          <w:szCs w:val="36"/>
        </w:rPr>
      </w:pPr>
      <w:r>
        <w:rPr>
          <w:rFonts w:ascii="Times" w:hAnsi="Times" w:cs="Times"/>
          <w:color w:val="1A1A1A"/>
          <w:sz w:val="26"/>
          <w:szCs w:val="26"/>
        </w:rPr>
        <w:t xml:space="preserve">Pour cette guerre ont été mobilisés non seulement des hommes mais encore des idéaux, des valeurs, des principes philosophiques. Dans son barda, le soldat emporte une grille d’interprétation de l’événement auquel on lui demande de participer. Or, à l’épreuve du feu, cette grille subit une transformation. Pour certains elle se renforce. Pour d’autres, elle s’effondre. </w:t>
      </w:r>
      <w:r w:rsidR="00E44CD7">
        <w:rPr>
          <w:rFonts w:ascii="Times" w:hAnsi="Times" w:cs="Times"/>
          <w:color w:val="1A1A1A"/>
          <w:sz w:val="26"/>
          <w:szCs w:val="26"/>
        </w:rPr>
        <w:t>La conférence</w:t>
      </w:r>
      <w:bookmarkStart w:id="0" w:name="_GoBack"/>
      <w:bookmarkEnd w:id="0"/>
      <w:r>
        <w:rPr>
          <w:rFonts w:ascii="Times" w:hAnsi="Times" w:cs="Times"/>
          <w:color w:val="1A1A1A"/>
          <w:sz w:val="26"/>
          <w:szCs w:val="26"/>
        </w:rPr>
        <w:t xml:space="preserve"> s’intéresse à la manière dont les combattants construisent, en marge des rhétoriques générales et de leurs représentations, une signification plus personnelle de la guerre. Il y a ceux qui élaborent une pensée du refus, de la dénonciation (Gabriel Chevallier, Jean Giono, Léon </w:t>
      </w:r>
      <w:proofErr w:type="spellStart"/>
      <w:r>
        <w:rPr>
          <w:rFonts w:ascii="Times" w:hAnsi="Times" w:cs="Times"/>
          <w:color w:val="1A1A1A"/>
          <w:sz w:val="26"/>
          <w:szCs w:val="26"/>
        </w:rPr>
        <w:t>Werth</w:t>
      </w:r>
      <w:proofErr w:type="spellEnd"/>
      <w:r>
        <w:rPr>
          <w:rFonts w:ascii="Times" w:hAnsi="Times" w:cs="Times"/>
          <w:color w:val="1A1A1A"/>
          <w:sz w:val="26"/>
          <w:szCs w:val="26"/>
        </w:rPr>
        <w:t xml:space="preserve">). Ceux qui voient se lever, au-dessus du carnage, de nouveaux idéaux (Henri Barbusse, Roland Dorgelès, Louis </w:t>
      </w:r>
      <w:proofErr w:type="spellStart"/>
      <w:r>
        <w:rPr>
          <w:rFonts w:ascii="Times" w:hAnsi="Times" w:cs="Times"/>
          <w:color w:val="1A1A1A"/>
          <w:sz w:val="26"/>
          <w:szCs w:val="26"/>
        </w:rPr>
        <w:t>Barthas</w:t>
      </w:r>
      <w:proofErr w:type="spellEnd"/>
      <w:r>
        <w:rPr>
          <w:rFonts w:ascii="Times" w:hAnsi="Times" w:cs="Times"/>
          <w:color w:val="1A1A1A"/>
          <w:sz w:val="26"/>
          <w:szCs w:val="26"/>
        </w:rPr>
        <w:t xml:space="preserve">). Ceux qui explorent le trou noir laissé par la chute des valeurs (Louis-Ferdinand Céline, Pierre </w:t>
      </w:r>
      <w:proofErr w:type="spellStart"/>
      <w:r>
        <w:rPr>
          <w:rFonts w:ascii="Times" w:hAnsi="Times" w:cs="Times"/>
          <w:color w:val="1A1A1A"/>
          <w:sz w:val="26"/>
          <w:szCs w:val="26"/>
        </w:rPr>
        <w:t>Drieu</w:t>
      </w:r>
      <w:proofErr w:type="spellEnd"/>
      <w:r>
        <w:rPr>
          <w:rFonts w:ascii="Times" w:hAnsi="Times" w:cs="Times"/>
          <w:color w:val="1A1A1A"/>
          <w:sz w:val="26"/>
          <w:szCs w:val="26"/>
        </w:rPr>
        <w:t xml:space="preserve"> La Rochelle, </w:t>
      </w:r>
      <w:proofErr w:type="spellStart"/>
      <w:r>
        <w:rPr>
          <w:rFonts w:ascii="Times" w:hAnsi="Times" w:cs="Times"/>
          <w:color w:val="1A1A1A"/>
          <w:sz w:val="26"/>
          <w:szCs w:val="26"/>
        </w:rPr>
        <w:t>Jaroslav</w:t>
      </w:r>
      <w:proofErr w:type="spellEnd"/>
      <w:r>
        <w:rPr>
          <w:rFonts w:ascii="Times" w:hAnsi="Times" w:cs="Times"/>
          <w:color w:val="1A1A1A"/>
          <w:sz w:val="26"/>
          <w:szCs w:val="26"/>
        </w:rPr>
        <w:t xml:space="preserve"> Hasek). Ceux qui voient surgir en eux des forces inattendues (Guillaume Apollinaire, Ernst Jünger, Elie Faure). Ceux qui lisent l’épreuve à travers le prisme de la spiritualité la plus haute (Wilfred Owen, Jacques Rivière, Pierre Teilhard de Chardin).</w:t>
      </w:r>
    </w:p>
    <w:p w:rsidR="00C23666" w:rsidRPr="00E3773B" w:rsidRDefault="00C23666" w:rsidP="00C23666">
      <w:pPr>
        <w:jc w:val="center"/>
        <w:rPr>
          <w:b/>
          <w:color w:val="9BBB59" w:themeColor="accent3"/>
          <w:sz w:val="40"/>
          <w:szCs w:val="40"/>
        </w:rPr>
      </w:pPr>
      <w:r w:rsidRPr="00E3773B">
        <w:rPr>
          <w:b/>
          <w:color w:val="9BBB59" w:themeColor="accent3"/>
          <w:sz w:val="40"/>
          <w:szCs w:val="40"/>
        </w:rPr>
        <w:t xml:space="preserve">Entrée libre. </w:t>
      </w:r>
    </w:p>
    <w:p w:rsidR="00AE54EB" w:rsidRDefault="00AE54EB"/>
    <w:sectPr w:rsidR="00AE54EB" w:rsidSect="00FE761B">
      <w:type w:val="continuous"/>
      <w:pgSz w:w="11900" w:h="16840"/>
      <w:pgMar w:top="851" w:right="851" w:bottom="851" w:left="851"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66"/>
    <w:rsid w:val="00AE54EB"/>
    <w:rsid w:val="00C0343D"/>
    <w:rsid w:val="00C23666"/>
    <w:rsid w:val="00E44C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6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366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6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36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Alazard</dc:creator>
  <cp:lastModifiedBy>Famille GODO</cp:lastModifiedBy>
  <cp:revision>2</cp:revision>
  <dcterms:created xsi:type="dcterms:W3CDTF">2015-03-10T18:36:00Z</dcterms:created>
  <dcterms:modified xsi:type="dcterms:W3CDTF">2015-03-10T18:36:00Z</dcterms:modified>
</cp:coreProperties>
</file>